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D0087B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E52193">
        <w:rPr>
          <w:sz w:val="22"/>
          <w:szCs w:val="22"/>
        </w:rPr>
        <w:t>трансформаторов тока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E52193">
        <w:rPr>
          <w:sz w:val="22"/>
          <w:szCs w:val="22"/>
        </w:rPr>
        <w:t>трансформаторы тока</w:t>
      </w:r>
      <w:r w:rsidRPr="00666520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E52193" w:rsidRPr="001B05A0" w:rsidRDefault="009347AE" w:rsidP="00E52193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E52193" w:rsidRPr="001B05A0">
        <w:rPr>
          <w:color w:val="000000"/>
          <w:sz w:val="22"/>
          <w:szCs w:val="22"/>
        </w:rPr>
        <w:t xml:space="preserve">Перечень (номенклатура), количество, наименование, </w:t>
      </w:r>
      <w:r w:rsidR="006E68AB">
        <w:rPr>
          <w:color w:val="000000"/>
          <w:sz w:val="22"/>
          <w:szCs w:val="22"/>
        </w:rPr>
        <w:t>номинал,</w:t>
      </w:r>
      <w:r w:rsidR="00D8169B">
        <w:rPr>
          <w:color w:val="000000"/>
          <w:sz w:val="22"/>
          <w:szCs w:val="22"/>
        </w:rPr>
        <w:t xml:space="preserve"> </w:t>
      </w:r>
      <w:r w:rsidR="00E52193" w:rsidRPr="001B05A0">
        <w:rPr>
          <w:color w:val="000000"/>
          <w:sz w:val="22"/>
          <w:szCs w:val="22"/>
        </w:rPr>
        <w:t xml:space="preserve">страна происхождения, цена товара указываются </w:t>
      </w:r>
      <w:r w:rsidR="00D8169B">
        <w:rPr>
          <w:color w:val="000000"/>
          <w:sz w:val="22"/>
          <w:szCs w:val="22"/>
        </w:rPr>
        <w:t>в спецификации (Приложение №1</w:t>
      </w:r>
      <w:r w:rsidR="006E68AB">
        <w:rPr>
          <w:color w:val="000000"/>
          <w:sz w:val="22"/>
          <w:szCs w:val="22"/>
        </w:rPr>
        <w:t xml:space="preserve">), </w:t>
      </w:r>
      <w:r w:rsidR="006E68AB" w:rsidRPr="001B05A0">
        <w:rPr>
          <w:color w:val="000000"/>
          <w:sz w:val="22"/>
          <w:szCs w:val="22"/>
        </w:rPr>
        <w:t>функциональные</w:t>
      </w:r>
      <w:r w:rsidR="00E52193" w:rsidRPr="001B05A0">
        <w:rPr>
          <w:sz w:val="22"/>
          <w:szCs w:val="22"/>
        </w:rPr>
        <w:t xml:space="preserve">, технические, качественные характеристики товара указываются в Приложении №2, </w:t>
      </w:r>
      <w:r w:rsidR="00E52193" w:rsidRPr="001B05A0">
        <w:rPr>
          <w:color w:val="000000"/>
          <w:sz w:val="22"/>
          <w:szCs w:val="22"/>
        </w:rPr>
        <w:t>которые являются неотъемлемой частью настоящего договора.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Дата выпуска ___________.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BD6E53">
        <w:rPr>
          <w:snapToGrid/>
          <w:sz w:val="22"/>
          <w:szCs w:val="22"/>
        </w:rPr>
        <w:t>декабря</w:t>
      </w:r>
      <w:r w:rsidR="00E07D8D">
        <w:rPr>
          <w:snapToGrid/>
          <w:sz w:val="22"/>
          <w:szCs w:val="22"/>
        </w:rPr>
        <w:t xml:space="preserve"> 20</w:t>
      </w:r>
      <w:r w:rsidR="000619FB">
        <w:rPr>
          <w:snapToGrid/>
          <w:sz w:val="22"/>
          <w:szCs w:val="22"/>
        </w:rPr>
        <w:t>2</w:t>
      </w:r>
      <w:r w:rsidR="00BD6E53">
        <w:rPr>
          <w:snapToGrid/>
          <w:sz w:val="22"/>
          <w:szCs w:val="22"/>
        </w:rPr>
        <w:t>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6E68AB">
        <w:rPr>
          <w:sz w:val="22"/>
          <w:szCs w:val="22"/>
        </w:rPr>
        <w:t>номинал</w:t>
      </w:r>
      <w:r w:rsidR="00D8169B"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объем (количество)</w:t>
      </w:r>
      <w:r w:rsidR="00971047"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9347AE" w:rsidRPr="00392C5D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E52193">
        <w:rPr>
          <w:sz w:val="22"/>
          <w:szCs w:val="22"/>
        </w:rPr>
        <w:t>7</w:t>
      </w:r>
      <w:r w:rsidRPr="0064610C">
        <w:rPr>
          <w:sz w:val="22"/>
          <w:szCs w:val="22"/>
        </w:rPr>
        <w:t xml:space="preserve"> (</w:t>
      </w:r>
      <w:r w:rsidR="00E52193">
        <w:rPr>
          <w:sz w:val="22"/>
          <w:szCs w:val="22"/>
        </w:rPr>
        <w:t>семи</w:t>
      </w:r>
      <w:r w:rsidRPr="0064610C">
        <w:rPr>
          <w:sz w:val="22"/>
          <w:szCs w:val="22"/>
        </w:rPr>
        <w:t xml:space="preserve">) </w:t>
      </w:r>
      <w:r w:rsidR="00E52193">
        <w:rPr>
          <w:sz w:val="22"/>
          <w:szCs w:val="22"/>
        </w:rPr>
        <w:t>календарных</w:t>
      </w:r>
      <w:r w:rsidRPr="00392C5D">
        <w:rPr>
          <w:sz w:val="22"/>
          <w:szCs w:val="22"/>
        </w:rPr>
        <w:t xml:space="preserve"> 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260E6D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представляет товарно-транспортную накладную</w:t>
      </w:r>
      <w:r w:rsidR="00A64A8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A64A8F">
        <w:rPr>
          <w:color w:val="000000"/>
          <w:sz w:val="22"/>
          <w:szCs w:val="22"/>
        </w:rPr>
        <w:t xml:space="preserve"> и передачи товара на складе Покупателя</w:t>
      </w:r>
      <w:r w:rsidRPr="002E2A99">
        <w:rPr>
          <w:color w:val="000000"/>
          <w:sz w:val="22"/>
          <w:szCs w:val="22"/>
        </w:rPr>
        <w:t>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2E2A99" w:rsidRDefault="00585AA5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-товарно-транспортную накладн</w:t>
      </w:r>
      <w:r w:rsidR="00E70359">
        <w:rPr>
          <w:color w:val="000000"/>
          <w:sz w:val="22"/>
          <w:szCs w:val="22"/>
        </w:rPr>
        <w:t>ая</w:t>
      </w:r>
      <w:r>
        <w:rPr>
          <w:color w:val="000000"/>
          <w:sz w:val="22"/>
          <w:szCs w:val="22"/>
        </w:rPr>
        <w:t>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E52193" w:rsidRDefault="00E52193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паспорт на товар с отметкой о пройденной поверке</w:t>
      </w:r>
      <w:r w:rsidR="00D8169B">
        <w:rPr>
          <w:color w:val="000000"/>
          <w:sz w:val="22"/>
          <w:szCs w:val="22"/>
        </w:rPr>
        <w:t xml:space="preserve"> </w:t>
      </w:r>
      <w:r w:rsidR="00D8169B" w:rsidRPr="006E68AB">
        <w:rPr>
          <w:color w:val="000000"/>
          <w:sz w:val="22"/>
          <w:szCs w:val="22"/>
        </w:rPr>
        <w:t>(с давностью не более 4 месяцев</w:t>
      </w:r>
      <w:r w:rsidR="00D8169B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E52193" w:rsidRPr="002E2A99" w:rsidRDefault="00E52193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руководство по эксплуатации;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- сертификат соответствия/декларация о соответствии</w:t>
      </w:r>
      <w:r w:rsidRPr="00FF2F69">
        <w:rPr>
          <w:sz w:val="22"/>
          <w:szCs w:val="22"/>
        </w:rPr>
        <w:t>.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2.4. Место поставки: Россия, г. Томск, ул. Нижне-Луговая, 85а (склад ООО «Горсети</w:t>
      </w:r>
      <w:r w:rsidR="00BD6E53">
        <w:rPr>
          <w:sz w:val="22"/>
          <w:szCs w:val="22"/>
        </w:rPr>
        <w:t>»).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 xml:space="preserve">ГОСТ </w:t>
      </w:r>
      <w:r>
        <w:rPr>
          <w:b/>
          <w:sz w:val="22"/>
          <w:szCs w:val="22"/>
          <w:shd w:val="clear" w:color="auto" w:fill="FFFFFF"/>
        </w:rPr>
        <w:t>__________________________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E53870">
        <w:rPr>
          <w:snapToGrid/>
          <w:color w:val="000000"/>
          <w:sz w:val="22"/>
          <w:szCs w:val="22"/>
        </w:rPr>
        <w:t xml:space="preserve">Двух)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E52193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3.3. </w:t>
      </w:r>
      <w:r w:rsidRPr="0064610C">
        <w:rPr>
          <w:snapToGrid/>
          <w:color w:val="000000"/>
          <w:sz w:val="22"/>
          <w:szCs w:val="22"/>
        </w:rPr>
        <w:t xml:space="preserve">Поставщик своими силами и за свой счет обязан заменить товар, не отвечающий требованиям качества в течение </w:t>
      </w:r>
      <w:r w:rsidR="00E52193">
        <w:rPr>
          <w:snapToGrid/>
          <w:color w:val="000000"/>
          <w:sz w:val="22"/>
          <w:szCs w:val="22"/>
        </w:rPr>
        <w:t>10</w:t>
      </w:r>
      <w:r w:rsidRPr="0064610C">
        <w:rPr>
          <w:snapToGrid/>
          <w:color w:val="000000"/>
          <w:sz w:val="22"/>
          <w:szCs w:val="22"/>
        </w:rPr>
        <w:t xml:space="preserve"> (</w:t>
      </w:r>
      <w:r w:rsidR="00E52193">
        <w:rPr>
          <w:snapToGrid/>
          <w:color w:val="000000"/>
          <w:sz w:val="22"/>
          <w:szCs w:val="22"/>
        </w:rPr>
        <w:t>десяти</w:t>
      </w:r>
      <w:r w:rsidRPr="0064610C">
        <w:rPr>
          <w:snapToGrid/>
          <w:color w:val="000000"/>
          <w:sz w:val="22"/>
          <w:szCs w:val="22"/>
        </w:rPr>
        <w:t xml:space="preserve">) </w:t>
      </w:r>
      <w:r w:rsidR="00E52193">
        <w:rPr>
          <w:snapToGrid/>
          <w:color w:val="000000"/>
          <w:sz w:val="22"/>
          <w:szCs w:val="22"/>
        </w:rPr>
        <w:t xml:space="preserve">рабочих </w:t>
      </w:r>
      <w:r w:rsidRPr="0064610C">
        <w:rPr>
          <w:snapToGrid/>
          <w:color w:val="000000"/>
          <w:sz w:val="22"/>
          <w:szCs w:val="22"/>
        </w:rPr>
        <w:t xml:space="preserve">дней с момента подписания сторонами Акта о недостатках. 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64610C">
        <w:rPr>
          <w:snapToGrid/>
          <w:color w:val="000000"/>
          <w:sz w:val="22"/>
          <w:szCs w:val="22"/>
        </w:rPr>
        <w:t>3.4. В случае недопоставки това</w:t>
      </w:r>
      <w:r w:rsidRPr="002E2A99">
        <w:rPr>
          <w:snapToGrid/>
          <w:color w:val="000000"/>
          <w:sz w:val="22"/>
          <w:szCs w:val="22"/>
        </w:rPr>
        <w:t xml:space="preserve">ра Поставщик обязан своими силами и за свой счет восполнить недопоставленное количество товара в течение </w:t>
      </w:r>
      <w:r w:rsidR="00E52193">
        <w:rPr>
          <w:snapToGrid/>
          <w:color w:val="000000"/>
          <w:sz w:val="22"/>
          <w:szCs w:val="22"/>
        </w:rPr>
        <w:t>10</w:t>
      </w:r>
      <w:r w:rsidRPr="002E2A99">
        <w:rPr>
          <w:snapToGrid/>
          <w:color w:val="000000"/>
          <w:sz w:val="22"/>
          <w:szCs w:val="22"/>
        </w:rPr>
        <w:t xml:space="preserve"> (</w:t>
      </w:r>
      <w:r w:rsidR="00E52193">
        <w:rPr>
          <w:snapToGrid/>
          <w:color w:val="000000"/>
          <w:sz w:val="22"/>
          <w:szCs w:val="22"/>
        </w:rPr>
        <w:t>десяти</w:t>
      </w:r>
      <w:r w:rsidRPr="002E2A99">
        <w:rPr>
          <w:snapToGrid/>
          <w:color w:val="000000"/>
          <w:sz w:val="22"/>
          <w:szCs w:val="22"/>
        </w:rPr>
        <w:t xml:space="preserve">) </w:t>
      </w:r>
      <w:r w:rsidR="00E52193">
        <w:rPr>
          <w:snapToGrid/>
          <w:color w:val="000000"/>
          <w:sz w:val="22"/>
          <w:szCs w:val="22"/>
        </w:rPr>
        <w:t xml:space="preserve">рабочих </w:t>
      </w:r>
      <w:r w:rsidRPr="002E2A99">
        <w:rPr>
          <w:snapToGrid/>
          <w:color w:val="000000"/>
          <w:sz w:val="22"/>
          <w:szCs w:val="22"/>
        </w:rPr>
        <w:t>дн</w:t>
      </w:r>
      <w:r>
        <w:rPr>
          <w:snapToGrid/>
          <w:color w:val="000000"/>
          <w:sz w:val="22"/>
          <w:szCs w:val="22"/>
        </w:rPr>
        <w:t>ей</w:t>
      </w:r>
      <w:r w:rsidRPr="002E2A99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0619FB" w:rsidRPr="00392C5D" w:rsidRDefault="000619FB" w:rsidP="000619F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3.5.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0619FB" w:rsidRDefault="000619FB" w:rsidP="000619FB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BD6E53" w:rsidRDefault="00BD6E53" w:rsidP="00BD6E53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3.7. </w:t>
      </w:r>
      <w:r>
        <w:rPr>
          <w:snapToGrid/>
          <w:sz w:val="22"/>
          <w:szCs w:val="22"/>
        </w:rPr>
        <w:t xml:space="preserve"> Гарантийный срок ______________лет.</w:t>
      </w:r>
    </w:p>
    <w:p w:rsidR="00A72741" w:rsidRPr="00BD6E53" w:rsidRDefault="00E52193" w:rsidP="002772F9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3.8. </w:t>
      </w:r>
      <w:r w:rsidR="00A72741">
        <w:rPr>
          <w:snapToGrid/>
          <w:sz w:val="22"/>
          <w:szCs w:val="22"/>
        </w:rPr>
        <w:t xml:space="preserve">  Межповерочный интервал не менее ___________ лет.</w:t>
      </w:r>
    </w:p>
    <w:p w:rsidR="000619FB" w:rsidRPr="00F550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E52193">
        <w:rPr>
          <w:color w:val="000000"/>
          <w:sz w:val="22"/>
          <w:szCs w:val="22"/>
        </w:rPr>
        <w:t>9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E53870">
        <w:rPr>
          <w:snapToGrid/>
          <w:sz w:val="22"/>
          <w:szCs w:val="22"/>
        </w:rPr>
        <w:t>3.</w:t>
      </w:r>
      <w:r w:rsidR="00E52193">
        <w:rPr>
          <w:snapToGrid/>
          <w:sz w:val="22"/>
          <w:szCs w:val="22"/>
        </w:rPr>
        <w:t>10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9A55C2" w:rsidRPr="002E2A99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666520" w:rsidRPr="00666520">
        <w:rPr>
          <w:b/>
          <w:color w:val="000000"/>
          <w:sz w:val="22"/>
          <w:szCs w:val="22"/>
        </w:rPr>
        <w:t>/без учета НДС</w:t>
      </w:r>
      <w:r w:rsidRPr="00666520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64610C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lastRenderedPageBreak/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lastRenderedPageBreak/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даты подписания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3C0DED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27570" w:rsidRPr="002E2A99" w:rsidTr="000751FC">
        <w:trPr>
          <w:gridAfter w:val="1"/>
          <w:wAfter w:w="5178" w:type="dxa"/>
        </w:trPr>
        <w:tc>
          <w:tcPr>
            <w:tcW w:w="5103" w:type="dxa"/>
            <w:shd w:val="clear" w:color="auto" w:fill="auto"/>
          </w:tcPr>
          <w:p w:rsidR="00C27570" w:rsidRPr="002E2A99" w:rsidRDefault="00C27570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Pr="002E2A99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04690" w:rsidRDefault="00D04690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04690" w:rsidRDefault="00D04690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4207A" w:rsidRDefault="0074207A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41"/>
        <w:gridCol w:w="1985"/>
        <w:gridCol w:w="793"/>
        <w:gridCol w:w="1617"/>
        <w:gridCol w:w="1072"/>
        <w:gridCol w:w="597"/>
        <w:gridCol w:w="797"/>
        <w:gridCol w:w="1476"/>
        <w:gridCol w:w="1586"/>
      </w:tblGrid>
      <w:tr w:rsidR="00E52193" w:rsidRPr="00E52193" w:rsidTr="005B3849">
        <w:trPr>
          <w:cantSplit/>
          <w:trHeight w:val="98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№</w:t>
            </w:r>
          </w:p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Наименование</w:t>
            </w:r>
          </w:p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Номинал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b/>
                <w:bCs/>
                <w:snapToGrid/>
                <w:sz w:val="20"/>
                <w:shd w:val="clear" w:color="auto" w:fill="FFFFFF"/>
              </w:rPr>
              <w:t>Стандарты и разрешительная документация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Единица</w:t>
            </w:r>
          </w:p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52193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6E68AB" w:rsidRDefault="00E52193" w:rsidP="00E52193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6E68AB">
              <w:rPr>
                <w:b/>
                <w:snapToGrid/>
                <w:sz w:val="20"/>
              </w:rPr>
              <w:t>Цена за единицу, руб., с НДС</w:t>
            </w:r>
            <w:r w:rsidR="006E68AB" w:rsidRPr="006E68AB">
              <w:rPr>
                <w:b/>
                <w:snapToGrid/>
                <w:sz w:val="20"/>
              </w:rPr>
              <w:t>/без НДС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6E68AB" w:rsidRDefault="00E52193" w:rsidP="00E52193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6E68AB">
              <w:rPr>
                <w:b/>
                <w:snapToGrid/>
                <w:sz w:val="20"/>
              </w:rPr>
              <w:t>Общая стоимость, руб., с НДС</w:t>
            </w:r>
            <w:r w:rsidR="006E68AB" w:rsidRPr="006E68AB">
              <w:rPr>
                <w:b/>
                <w:snapToGrid/>
                <w:sz w:val="20"/>
              </w:rPr>
              <w:t>/без НДС</w:t>
            </w: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30/5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5B3849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50/5</w:t>
            </w: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198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75/5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150/5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1200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200/5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1800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300/5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400/5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399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600/5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198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1000/5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99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5B3849">
        <w:trPr>
          <w:trHeight w:val="27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ind w:firstLine="0"/>
            </w:pPr>
            <w:r w:rsidRPr="00E52193">
              <w:rPr>
                <w:snapToGrid/>
                <w:sz w:val="20"/>
              </w:rPr>
              <w:t xml:space="preserve">Трансформатор тока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1500/5</w:t>
            </w: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E52193">
              <w:rPr>
                <w:snapToGrid/>
                <w:sz w:val="20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E52193">
              <w:rPr>
                <w:snapToGrid/>
                <w:color w:val="000000"/>
                <w:sz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E52193" w:rsidRPr="00E52193" w:rsidTr="00A428B9">
        <w:trPr>
          <w:trHeight w:val="271"/>
          <w:jc w:val="center"/>
        </w:trPr>
        <w:tc>
          <w:tcPr>
            <w:tcW w:w="104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93" w:rsidRPr="00E52193" w:rsidRDefault="00E52193" w:rsidP="00E52193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2193">
              <w:rPr>
                <w:b/>
                <w:sz w:val="22"/>
                <w:szCs w:val="22"/>
              </w:rPr>
              <w:t>Всего наименований на сумму, с учетом НДС/без учета НДС, руб.____________________________</w:t>
            </w:r>
          </w:p>
          <w:p w:rsidR="00E52193" w:rsidRPr="00E52193" w:rsidRDefault="00E52193" w:rsidP="00E521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</w:tbl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sz w:val="22"/>
          <w:szCs w:val="22"/>
        </w:rPr>
      </w:pPr>
    </w:p>
    <w:p w:rsidR="00B76F3E" w:rsidRDefault="00B76F3E"/>
    <w:p w:rsidR="00E52193" w:rsidRDefault="00E52193">
      <w:bookmarkStart w:id="2" w:name="_GoBack"/>
      <w:bookmarkEnd w:id="2"/>
    </w:p>
    <w:p w:rsidR="00E52193" w:rsidRDefault="00E52193"/>
    <w:p w:rsidR="00E52193" w:rsidRDefault="00E52193"/>
    <w:p w:rsidR="00E52193" w:rsidRDefault="00E52193"/>
    <w:p w:rsidR="00E52193" w:rsidRDefault="00E52193"/>
    <w:p w:rsidR="00E52193" w:rsidRDefault="00E52193"/>
    <w:p w:rsidR="00E52193" w:rsidRDefault="00E52193"/>
    <w:p w:rsidR="006E68AB" w:rsidRDefault="006E68AB"/>
    <w:p w:rsidR="00E52193" w:rsidRDefault="00E52193"/>
    <w:p w:rsidR="00E52193" w:rsidRPr="002E2A99" w:rsidRDefault="00E52193" w:rsidP="00E52193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</w:t>
      </w:r>
      <w:r>
        <w:rPr>
          <w:b/>
          <w:sz w:val="22"/>
          <w:szCs w:val="22"/>
        </w:rPr>
        <w:t>2</w:t>
      </w:r>
    </w:p>
    <w:p w:rsidR="00E52193" w:rsidRDefault="00E52193" w:rsidP="00E52193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E52193" w:rsidRDefault="00E52193" w:rsidP="00E52193">
      <w:pPr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2020 г</w:t>
      </w:r>
    </w:p>
    <w:p w:rsidR="00E52193" w:rsidRDefault="002772F9" w:rsidP="002772F9">
      <w:pPr>
        <w:jc w:val="center"/>
      </w:pPr>
      <w:r>
        <w:t>Технические характеристики</w:t>
      </w:r>
    </w:p>
    <w:tbl>
      <w:tblPr>
        <w:tblW w:w="10313" w:type="dxa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"/>
        <w:gridCol w:w="4838"/>
        <w:gridCol w:w="5263"/>
        <w:gridCol w:w="106"/>
      </w:tblGrid>
      <w:tr w:rsidR="002772F9" w:rsidRPr="007D2D48" w:rsidTr="00A428B9">
        <w:trPr>
          <w:gridBefore w:val="1"/>
          <w:wBefore w:w="106" w:type="dxa"/>
          <w:trHeight w:val="221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72F9" w:rsidRPr="007D2D48" w:rsidRDefault="002772F9" w:rsidP="00A428B9">
            <w:pPr>
              <w:widowControl w:val="0"/>
              <w:adjustRightInd w:val="0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7D2D48">
              <w:rPr>
                <w:b/>
                <w:snapToGrid/>
                <w:sz w:val="22"/>
                <w:szCs w:val="22"/>
              </w:rPr>
              <w:t>Трансформаторы тока</w:t>
            </w:r>
          </w:p>
          <w:p w:rsidR="002772F9" w:rsidRPr="007D2D48" w:rsidRDefault="002772F9" w:rsidP="00A428B9">
            <w:pPr>
              <w:widowControl w:val="0"/>
              <w:adjustRightInd w:val="0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</w:p>
        </w:tc>
      </w:tr>
      <w:tr w:rsidR="002772F9" w:rsidRPr="007D2D48" w:rsidTr="00A428B9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trHeight w:val="347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360" w:lineRule="atLeast"/>
              <w:ind w:left="57" w:right="57" w:firstLine="0"/>
              <w:jc w:val="center"/>
              <w:textAlignment w:val="baseline"/>
              <w:rPr>
                <w:b/>
                <w:snapToGrid/>
                <w:sz w:val="22"/>
              </w:rPr>
            </w:pPr>
            <w:r w:rsidRPr="00631447">
              <w:rPr>
                <w:b/>
                <w:snapToGrid/>
                <w:sz w:val="22"/>
              </w:rPr>
              <w:t>Эксплуатационные показатели</w:t>
            </w: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Номинальный ток (первичный/вторичный), А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Класс точности</w:t>
            </w:r>
          </w:p>
        </w:tc>
        <w:tc>
          <w:tcPr>
            <w:tcW w:w="5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lang w:val="en-US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Номинальное напряжение, кВ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Номинальный вторичный ток,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Номинальная частота сети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Климатическое исполнение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Режим работы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Относительная влажность окружающего воздуха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Конструктивное исполнение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Размер окна под шину, мм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  <w:tr w:rsidR="002772F9" w:rsidRPr="007D2D48" w:rsidTr="00A72741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6" w:type="dxa"/>
          <w:jc w:val="center"/>
        </w:trPr>
        <w:tc>
          <w:tcPr>
            <w:tcW w:w="4944" w:type="dxa"/>
            <w:gridSpan w:val="2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ind w:firstLine="0"/>
              <w:jc w:val="center"/>
              <w:textAlignment w:val="baseline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Рабочее положение</w:t>
            </w:r>
          </w:p>
        </w:tc>
        <w:tc>
          <w:tcPr>
            <w:tcW w:w="5263" w:type="dxa"/>
            <w:shd w:val="clear" w:color="auto" w:fill="auto"/>
            <w:vAlign w:val="center"/>
          </w:tcPr>
          <w:p w:rsidR="002772F9" w:rsidRPr="00631447" w:rsidRDefault="002772F9" w:rsidP="00A428B9">
            <w:pPr>
              <w:widowControl w:val="0"/>
              <w:adjustRightInd w:val="0"/>
              <w:ind w:firstLine="0"/>
              <w:jc w:val="center"/>
              <w:textAlignment w:val="baseline"/>
              <w:rPr>
                <w:snapToGrid/>
                <w:sz w:val="22"/>
              </w:rPr>
            </w:pPr>
          </w:p>
        </w:tc>
      </w:tr>
    </w:tbl>
    <w:p w:rsidR="002772F9" w:rsidRDefault="002772F9" w:rsidP="002772F9">
      <w:pPr>
        <w:spacing w:line="322" w:lineRule="auto"/>
        <w:ind w:firstLine="193"/>
        <w:rPr>
          <w:b/>
          <w:i/>
          <w:snapToGrid/>
          <w:sz w:val="22"/>
          <w:szCs w:val="22"/>
        </w:rPr>
      </w:pPr>
    </w:p>
    <w:p w:rsidR="002772F9" w:rsidRPr="00451152" w:rsidRDefault="002772F9" w:rsidP="00A7274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  <w:r w:rsidRPr="00451152">
        <w:rPr>
          <w:b/>
          <w:snapToGrid/>
          <w:sz w:val="24"/>
          <w:szCs w:val="24"/>
        </w:rPr>
        <w:t>Технические параметры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79"/>
        <w:gridCol w:w="2621"/>
        <w:gridCol w:w="2525"/>
        <w:gridCol w:w="1975"/>
      </w:tblGrid>
      <w:tr w:rsidR="002772F9" w:rsidRPr="00451152" w:rsidTr="00A428B9"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72741">
            <w:pPr>
              <w:autoSpaceDE w:val="0"/>
              <w:autoSpaceDN w:val="0"/>
              <w:adjustRightInd w:val="0"/>
              <w:spacing w:line="240" w:lineRule="auto"/>
              <w:ind w:left="206"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Номинальный первичный ток, А</w:t>
            </w:r>
          </w:p>
        </w:tc>
        <w:tc>
          <w:tcPr>
            <w:tcW w:w="51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2F9" w:rsidRPr="00631447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Номинальная вторичная на</w:t>
            </w:r>
            <w:r w:rsidRPr="00631447">
              <w:rPr>
                <w:snapToGrid/>
                <w:sz w:val="22"/>
              </w:rPr>
              <w:softHyphen/>
              <w:t>грузка, В-А, вторичной об</w:t>
            </w:r>
            <w:r w:rsidRPr="00631447">
              <w:rPr>
                <w:snapToGrid/>
                <w:sz w:val="22"/>
              </w:rPr>
              <w:softHyphen/>
              <w:t xml:space="preserve">мотки при </w:t>
            </w:r>
            <w:r w:rsidRPr="00631447">
              <w:rPr>
                <w:snapToGrid/>
                <w:sz w:val="22"/>
                <w:lang w:val="en-US"/>
              </w:rPr>
              <w:t>cos</w:t>
            </w:r>
            <w:r w:rsidRPr="00631447">
              <w:rPr>
                <w:snapToGrid/>
                <w:sz w:val="22"/>
              </w:rPr>
              <w:t xml:space="preserve"> ф</w:t>
            </w:r>
          </w:p>
        </w:tc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72F9" w:rsidRPr="00631447" w:rsidRDefault="002772F9" w:rsidP="00A7274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Класс точности по ГОСТ 7746</w:t>
            </w:r>
          </w:p>
        </w:tc>
      </w:tr>
      <w:tr w:rsidR="002772F9" w:rsidRPr="00451152" w:rsidTr="00A428B9"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F9" w:rsidRPr="00631447" w:rsidRDefault="002772F9" w:rsidP="00A428B9">
            <w:pPr>
              <w:spacing w:line="240" w:lineRule="auto"/>
              <w:ind w:firstLine="0"/>
              <w:jc w:val="left"/>
              <w:rPr>
                <w:snapToGrid/>
                <w:sz w:val="22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2F9" w:rsidRPr="00631447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0,8</w:t>
            </w:r>
          </w:p>
          <w:p w:rsidR="002772F9" w:rsidRPr="00631447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(нагрузка индук</w:t>
            </w:r>
            <w:r w:rsidRPr="00631447">
              <w:rPr>
                <w:snapToGrid/>
                <w:sz w:val="22"/>
              </w:rPr>
              <w:softHyphen/>
              <w:t>тивно - активная)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2F9" w:rsidRPr="00631447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1</w:t>
            </w:r>
          </w:p>
        </w:tc>
        <w:tc>
          <w:tcPr>
            <w:tcW w:w="19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30; 50; 75; 100;150; 200; 300; 400; 600; 1000; 1500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  <w:lang w:eastAsia="en-US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100; 150; 200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300; 400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600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  <w:lang w:eastAsia="en-US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631447">
              <w:rPr>
                <w:snapToGrid/>
                <w:sz w:val="22"/>
              </w:rPr>
              <w:t>1000;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widowControl w:val="0"/>
              <w:autoSpaceDE w:val="0"/>
              <w:autoSpaceDN w:val="0"/>
              <w:adjustRightInd w:val="0"/>
              <w:spacing w:line="331" w:lineRule="exact"/>
              <w:ind w:firstLine="0"/>
              <w:jc w:val="center"/>
              <w:rPr>
                <w:snapToGrid/>
                <w:sz w:val="22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631447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lang w:eastAsia="en-US"/>
              </w:rPr>
            </w:pPr>
          </w:p>
        </w:tc>
      </w:tr>
      <w:tr w:rsidR="002772F9" w:rsidRPr="00451152" w:rsidTr="00A428B9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451152" w:rsidRDefault="002772F9" w:rsidP="00A428B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1500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451152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451152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F9" w:rsidRPr="00451152" w:rsidRDefault="002772F9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</w:p>
        </w:tc>
      </w:tr>
    </w:tbl>
    <w:p w:rsidR="00A72741" w:rsidRDefault="00A72741" w:rsidP="002772F9">
      <w:pPr>
        <w:autoSpaceDE w:val="0"/>
        <w:autoSpaceDN w:val="0"/>
        <w:adjustRightInd w:val="0"/>
        <w:spacing w:line="240" w:lineRule="auto"/>
        <w:ind w:firstLine="193"/>
        <w:rPr>
          <w:b/>
          <w:snapToGrid/>
          <w:sz w:val="22"/>
          <w:szCs w:val="22"/>
        </w:rPr>
      </w:pPr>
    </w:p>
    <w:p w:rsidR="002772F9" w:rsidRPr="00451152" w:rsidRDefault="002772F9" w:rsidP="00A72741">
      <w:pPr>
        <w:autoSpaceDE w:val="0"/>
        <w:autoSpaceDN w:val="0"/>
        <w:adjustRightInd w:val="0"/>
        <w:spacing w:line="240" w:lineRule="auto"/>
        <w:ind w:firstLine="193"/>
        <w:jc w:val="center"/>
        <w:rPr>
          <w:b/>
          <w:snapToGrid/>
          <w:sz w:val="22"/>
          <w:szCs w:val="22"/>
        </w:rPr>
      </w:pPr>
      <w:r w:rsidRPr="00451152">
        <w:rPr>
          <w:b/>
          <w:snapToGrid/>
          <w:sz w:val="22"/>
          <w:szCs w:val="22"/>
        </w:rPr>
        <w:t>Значения коэффициентов безопасности приборов в зависимости от номинального первичного тока и номинальной вторичной нагрузки</w:t>
      </w:r>
    </w:p>
    <w:p w:rsidR="002772F9" w:rsidRPr="00451152" w:rsidRDefault="002772F9" w:rsidP="002772F9">
      <w:pPr>
        <w:spacing w:after="14" w:line="1" w:lineRule="exact"/>
        <w:ind w:firstLine="0"/>
        <w:jc w:val="left"/>
        <w:rPr>
          <w:snapToGrid/>
          <w:sz w:val="2"/>
          <w:szCs w:val="2"/>
        </w:rPr>
      </w:pP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144"/>
        <w:gridCol w:w="811"/>
        <w:gridCol w:w="803"/>
        <w:gridCol w:w="8"/>
        <w:gridCol w:w="795"/>
        <w:gridCol w:w="16"/>
        <w:gridCol w:w="787"/>
        <w:gridCol w:w="21"/>
        <w:gridCol w:w="852"/>
        <w:gridCol w:w="850"/>
        <w:gridCol w:w="709"/>
        <w:gridCol w:w="40"/>
        <w:gridCol w:w="669"/>
        <w:gridCol w:w="724"/>
      </w:tblGrid>
      <w:tr w:rsidR="002772F9" w:rsidRPr="00451152" w:rsidTr="00A72741">
        <w:trPr>
          <w:trHeight w:val="90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772F9" w:rsidRPr="00451152" w:rsidRDefault="002772F9" w:rsidP="00A428B9">
            <w:pPr>
              <w:autoSpaceDE w:val="0"/>
              <w:autoSpaceDN w:val="0"/>
              <w:adjustRightInd w:val="0"/>
              <w:spacing w:line="307" w:lineRule="exact"/>
              <w:ind w:left="156" w:right="113" w:hanging="43"/>
              <w:jc w:val="center"/>
              <w:rPr>
                <w:b/>
                <w:snapToGrid/>
                <w:sz w:val="20"/>
              </w:rPr>
            </w:pPr>
            <w:r w:rsidRPr="00451152">
              <w:rPr>
                <w:b/>
                <w:snapToGrid/>
                <w:sz w:val="20"/>
              </w:rPr>
              <w:t>Тип трансформатора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72F9" w:rsidRPr="00451152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Номинальный первичный ток, А</w:t>
            </w:r>
          </w:p>
        </w:tc>
        <w:tc>
          <w:tcPr>
            <w:tcW w:w="708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2F9" w:rsidRPr="00451152" w:rsidRDefault="002772F9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Номинальный коэффициент безопасности приборов вторичной обмотки, не более, при номинальной вторичной нагрузке, В-А</w:t>
            </w:r>
          </w:p>
          <w:p w:rsidR="002772F9" w:rsidRPr="00451152" w:rsidRDefault="002772F9" w:rsidP="00A428B9">
            <w:pPr>
              <w:autoSpaceDE w:val="0"/>
              <w:autoSpaceDN w:val="0"/>
              <w:adjustRightInd w:val="0"/>
              <w:spacing w:line="307" w:lineRule="exact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1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1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2,5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3</w:t>
            </w: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727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 xml:space="preserve">15       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25</w:t>
            </w: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position w:val="-5"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30; 75; 50;100;150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left="45"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left="45"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left="45"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left="45"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left="45"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300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400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A72741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451152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600</w:t>
            </w: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41" w:rsidRPr="00631447" w:rsidRDefault="00A72741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575EBE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5EBE" w:rsidRPr="00451152" w:rsidRDefault="00575EBE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</w:tr>
      <w:tr w:rsidR="00575EBE" w:rsidRPr="00451152" w:rsidTr="00575EBE"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5EBE" w:rsidRPr="00451152" w:rsidRDefault="00575EBE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1500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575EBE" w:rsidRPr="00451152" w:rsidTr="00575EBE"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451152" w:rsidRDefault="00575EBE" w:rsidP="00A428B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451152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51152">
              <w:rPr>
                <w:snapToGrid/>
                <w:sz w:val="20"/>
              </w:rPr>
              <w:t>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631447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BE" w:rsidRPr="00451152" w:rsidRDefault="00575EBE" w:rsidP="00A428B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</w:tbl>
    <w:p w:rsidR="002772F9" w:rsidRDefault="002772F9" w:rsidP="002772F9">
      <w:pPr>
        <w:ind w:firstLine="0"/>
      </w:pPr>
    </w:p>
    <w:sectPr w:rsidR="002772F9" w:rsidSect="002772F9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4AC" w:rsidRDefault="005464AC">
      <w:pPr>
        <w:spacing w:line="240" w:lineRule="auto"/>
      </w:pPr>
      <w:r>
        <w:separator/>
      </w:r>
    </w:p>
  </w:endnote>
  <w:endnote w:type="continuationSeparator" w:id="0">
    <w:p w:rsidR="005464AC" w:rsidRDefault="005464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4AC" w:rsidRDefault="005464AC">
      <w:pPr>
        <w:spacing w:line="240" w:lineRule="auto"/>
      </w:pPr>
      <w:r>
        <w:separator/>
      </w:r>
    </w:p>
  </w:footnote>
  <w:footnote w:type="continuationSeparator" w:id="0">
    <w:p w:rsidR="005464AC" w:rsidRDefault="005464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C1490"/>
    <w:rsid w:val="000D00A3"/>
    <w:rsid w:val="000D379E"/>
    <w:rsid w:val="000E1885"/>
    <w:rsid w:val="00127ADF"/>
    <w:rsid w:val="00142983"/>
    <w:rsid w:val="001A7CFF"/>
    <w:rsid w:val="001F39BE"/>
    <w:rsid w:val="00252D95"/>
    <w:rsid w:val="00256F13"/>
    <w:rsid w:val="00260E6D"/>
    <w:rsid w:val="002772F9"/>
    <w:rsid w:val="00283015"/>
    <w:rsid w:val="002A6375"/>
    <w:rsid w:val="002B3884"/>
    <w:rsid w:val="002C1256"/>
    <w:rsid w:val="00324D2F"/>
    <w:rsid w:val="003273D6"/>
    <w:rsid w:val="0033231E"/>
    <w:rsid w:val="00337376"/>
    <w:rsid w:val="0037509C"/>
    <w:rsid w:val="00385134"/>
    <w:rsid w:val="003A2698"/>
    <w:rsid w:val="003B390E"/>
    <w:rsid w:val="003C0DED"/>
    <w:rsid w:val="00457313"/>
    <w:rsid w:val="00487B64"/>
    <w:rsid w:val="004D3A6E"/>
    <w:rsid w:val="004D6A9F"/>
    <w:rsid w:val="005464AC"/>
    <w:rsid w:val="00575EBE"/>
    <w:rsid w:val="00585AA5"/>
    <w:rsid w:val="005922B1"/>
    <w:rsid w:val="005A7A23"/>
    <w:rsid w:val="005B1624"/>
    <w:rsid w:val="005B3849"/>
    <w:rsid w:val="005C3E01"/>
    <w:rsid w:val="005E66D4"/>
    <w:rsid w:val="005F5AF9"/>
    <w:rsid w:val="005F7F98"/>
    <w:rsid w:val="00622C82"/>
    <w:rsid w:val="0064046F"/>
    <w:rsid w:val="0064610C"/>
    <w:rsid w:val="00666520"/>
    <w:rsid w:val="006E68AB"/>
    <w:rsid w:val="007017B2"/>
    <w:rsid w:val="00730078"/>
    <w:rsid w:val="007302D5"/>
    <w:rsid w:val="0074207A"/>
    <w:rsid w:val="007535C5"/>
    <w:rsid w:val="007539E8"/>
    <w:rsid w:val="00755C11"/>
    <w:rsid w:val="0075665E"/>
    <w:rsid w:val="007575B2"/>
    <w:rsid w:val="00774D83"/>
    <w:rsid w:val="00792815"/>
    <w:rsid w:val="007A59BA"/>
    <w:rsid w:val="00804D50"/>
    <w:rsid w:val="00852B3B"/>
    <w:rsid w:val="0088370E"/>
    <w:rsid w:val="00883771"/>
    <w:rsid w:val="00884A58"/>
    <w:rsid w:val="00897F86"/>
    <w:rsid w:val="008D3B04"/>
    <w:rsid w:val="008D4ED2"/>
    <w:rsid w:val="009347AE"/>
    <w:rsid w:val="00934D2D"/>
    <w:rsid w:val="00935438"/>
    <w:rsid w:val="009358BE"/>
    <w:rsid w:val="00940B2E"/>
    <w:rsid w:val="009415A8"/>
    <w:rsid w:val="009440BF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64A8F"/>
    <w:rsid w:val="00A72741"/>
    <w:rsid w:val="00AA1AF1"/>
    <w:rsid w:val="00AA7586"/>
    <w:rsid w:val="00AB3036"/>
    <w:rsid w:val="00B0532C"/>
    <w:rsid w:val="00B05A8A"/>
    <w:rsid w:val="00B103B1"/>
    <w:rsid w:val="00B10634"/>
    <w:rsid w:val="00B76F3E"/>
    <w:rsid w:val="00B915AD"/>
    <w:rsid w:val="00BC2B1B"/>
    <w:rsid w:val="00BC2CA5"/>
    <w:rsid w:val="00BD6E53"/>
    <w:rsid w:val="00BF5451"/>
    <w:rsid w:val="00C27570"/>
    <w:rsid w:val="00C3158C"/>
    <w:rsid w:val="00C349A4"/>
    <w:rsid w:val="00C838D7"/>
    <w:rsid w:val="00CE26AC"/>
    <w:rsid w:val="00CE7A97"/>
    <w:rsid w:val="00D0087B"/>
    <w:rsid w:val="00D00C16"/>
    <w:rsid w:val="00D04690"/>
    <w:rsid w:val="00D17510"/>
    <w:rsid w:val="00D268F0"/>
    <w:rsid w:val="00D8169B"/>
    <w:rsid w:val="00DF3CEB"/>
    <w:rsid w:val="00E02038"/>
    <w:rsid w:val="00E04516"/>
    <w:rsid w:val="00E07D8D"/>
    <w:rsid w:val="00E40DCE"/>
    <w:rsid w:val="00E52193"/>
    <w:rsid w:val="00E53870"/>
    <w:rsid w:val="00E65E05"/>
    <w:rsid w:val="00E70359"/>
    <w:rsid w:val="00E7499B"/>
    <w:rsid w:val="00E8390B"/>
    <w:rsid w:val="00EA5AFD"/>
    <w:rsid w:val="00EF052D"/>
    <w:rsid w:val="00F609B9"/>
    <w:rsid w:val="00FA3465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5CDA6C-BDA0-49D6-B8BB-1A00DB47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7</cp:revision>
  <cp:lastPrinted>2019-05-06T06:52:00Z</cp:lastPrinted>
  <dcterms:created xsi:type="dcterms:W3CDTF">2020-03-03T09:16:00Z</dcterms:created>
  <dcterms:modified xsi:type="dcterms:W3CDTF">2020-03-05T06:44:00Z</dcterms:modified>
</cp:coreProperties>
</file>